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86MS0016-01-2024-008130-73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05-1045/2805/2024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2"/>
        <w:gridCol w:w="475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25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Шинкарь М.Х.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участим привлекаемого к административной ответственности Данишевского А.А., его защитника – адвоката Ковалева А.А.,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возбужденное по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Данишевского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573862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Данишевский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Югра Ханты-Мансийского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Honda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Pilot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совершении маневра обгона впереди движущегося транспортного средства, выехал на полосу предназначенную для встречных транспортных средств, в зоне действия дорожного знака 3.20 «Обгон запрещен», чем нарушил п.1.3 ПДД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Данишевский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признал, пояснил, что является аккуратным водителем, обгон совершал после окончания действия дорожного знака </w:t>
      </w:r>
      <w:r>
        <w:rPr>
          <w:rFonts w:ascii="Times New Roman" w:eastAsia="Times New Roman" w:hAnsi="Times New Roman" w:cs="Times New Roman"/>
          <w:sz w:val="28"/>
          <w:szCs w:val="28"/>
        </w:rPr>
        <w:t>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 когда началась прерывистая линия.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Ковалев А.А. ходатайствовал о допросе в качестве свидетеля водителя </w:t>
      </w:r>
      <w:r>
        <w:rPr>
          <w:rStyle w:val="cat-UserDefinedgrp-3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которого его подзащитный обгонял после окончания знака </w:t>
      </w:r>
      <w:r>
        <w:rPr>
          <w:rFonts w:ascii="Times New Roman" w:eastAsia="Times New Roman" w:hAnsi="Times New Roman" w:cs="Times New Roman"/>
          <w:sz w:val="28"/>
          <w:szCs w:val="28"/>
        </w:rPr>
        <w:t>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указал что в материале отсутствует видео фиксация вменяемого административного правонарушения, также ходатайствовал об исключении из числа доказательств схемы совершенного административного правонарушения, ввиду наличия в ней исправлений-замазок,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совершены в отсутствие привлекаемого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что является процессуальным нарушением.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пояснил суду, что с привлекаемым лицом родственником не является, с ним не был знаком, до того момента, когда его остановили сотрудники полиции, которые пояснили ему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автомобиль под управлением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Данишевского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обогнал его автомобиль в </w:t>
      </w:r>
      <w:r>
        <w:rPr>
          <w:rFonts w:ascii="Times New Roman" w:eastAsia="Times New Roman" w:hAnsi="Times New Roman" w:cs="Times New Roman"/>
          <w:sz w:val="28"/>
          <w:szCs w:val="28"/>
        </w:rPr>
        <w:t>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Данные обстоятельства свидетель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 судебном заседании опроверг,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пояснял сотрудникам полиции, что </w:t>
      </w:r>
      <w:r>
        <w:rPr>
          <w:rFonts w:ascii="Times New Roman" w:eastAsia="Times New Roman" w:hAnsi="Times New Roman" w:cs="Times New Roman"/>
          <w:sz w:val="28"/>
          <w:szCs w:val="28"/>
        </w:rPr>
        <w:t>Данишевск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своем автомобиле </w:t>
      </w:r>
      <w:r>
        <w:rPr>
          <w:rFonts w:ascii="Times New Roman" w:eastAsia="Times New Roman" w:hAnsi="Times New Roman" w:cs="Times New Roman"/>
          <w:sz w:val="28"/>
          <w:szCs w:val="28"/>
        </w:rPr>
        <w:t>Honda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Pilot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обогнал его уже после окончания действия дорожного знака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3.20 </w:t>
      </w:r>
      <w:r>
        <w:rPr>
          <w:rFonts w:ascii="Times New Roman" w:eastAsia="Times New Roman" w:hAnsi="Times New Roman" w:cs="Times New Roman"/>
          <w:sz w:val="28"/>
          <w:szCs w:val="28"/>
        </w:rPr>
        <w:t>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 сотрудники полиции пояснили, что он неверно понял ход событий во время движения, отобрали у него объяснение, которое он подписал, однако он его обстоятельно не прочитал, подумал, что записаны его показания, которые он давал сотрудникам полиции. Почему отражены его показания в искаженном виде, сказать не может. Однако, четко помнит, что его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Данишевский А.А. на автомобиле </w:t>
      </w:r>
      <w:r>
        <w:rPr>
          <w:rFonts w:ascii="Times New Roman" w:eastAsia="Times New Roman" w:hAnsi="Times New Roman" w:cs="Times New Roman"/>
          <w:sz w:val="28"/>
          <w:szCs w:val="28"/>
        </w:rPr>
        <w:t>Honda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Pilot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обгонял, после окончания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 когда пошла прерывистая линия.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привлекаемое лицо, его защитника, допросив свидетеля,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движения, Правила)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разделом 3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23.10.1993 N 1090 (ред. от 19.04.2024) "О Правилах дорожного движения"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знак </w:t>
      </w:r>
      <w:r>
        <w:rPr>
          <w:rFonts w:ascii="Times New Roman" w:eastAsia="Times New Roman" w:hAnsi="Times New Roman" w:cs="Times New Roman"/>
          <w:sz w:val="28"/>
          <w:szCs w:val="28"/>
        </w:rPr>
        <w:t>3.20 "Обгон запрещен"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запрещающим знаком</w:t>
      </w:r>
      <w:r>
        <w:rPr>
          <w:rFonts w:ascii="Times New Roman" w:eastAsia="Times New Roman" w:hAnsi="Times New Roman" w:cs="Times New Roman"/>
          <w:sz w:val="28"/>
          <w:szCs w:val="28"/>
        </w:rPr>
        <w:t>.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Данишевский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час. 28 мин. на 75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Югра Ханты-Мансийского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Honda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Pilot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6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совершении маневра обгона впереди движущегося транспортного средства, выехал на полосу предназначенную для встречных транспортных средств, в зоне действия дорожного знака 3.20 «Обгон запрещен», чем нарушил п.1.3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 обстоятельства, исключающие производство по делу об административном правонарушении, ввиду следующего.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виновности предполагает доказывание вины лица в совершении противоправного действия (бездействия), то есть объективной стороны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содержания частей 1 и 4 статьи 1.5 Кодекса Российской Федерации об административных правонарушениях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допрошенный свидетель </w:t>
      </w:r>
      <w:r>
        <w:rPr>
          <w:rStyle w:val="cat-UserDefinedgrp-37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пояснил, что Данишевский А.А. обогнал его после окончания запрещающего знака, то есть после дорожного знака </w:t>
      </w:r>
      <w:r>
        <w:rPr>
          <w:rFonts w:ascii="Times New Roman" w:eastAsia="Times New Roman" w:hAnsi="Times New Roman" w:cs="Times New Roman"/>
          <w:sz w:val="28"/>
          <w:szCs w:val="28"/>
        </w:rPr>
        <w:t>3.21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"Конец зоны запрещения обгона", когда уже на дороге была прерывистая линия.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доказательств вины </w:t>
      </w:r>
      <w:r>
        <w:rPr>
          <w:rFonts w:ascii="Times New Roman" w:eastAsia="Times New Roman" w:hAnsi="Times New Roman" w:cs="Times New Roman"/>
          <w:sz w:val="28"/>
          <w:szCs w:val="28"/>
        </w:rPr>
        <w:t>Данишевск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вместе с протоколом об административном правонарушении, приложена схема происшествия, на которой отражен участок 75 км автодороги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г.Ханты-Мансийск-г.Нягань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движение в сторону </w:t>
      </w:r>
      <w:r>
        <w:rPr>
          <w:rFonts w:ascii="Times New Roman" w:eastAsia="Times New Roman" w:hAnsi="Times New Roman" w:cs="Times New Roman"/>
          <w:sz w:val="28"/>
          <w:szCs w:val="28"/>
        </w:rPr>
        <w:t>г.Нягани</w:t>
      </w:r>
      <w:r>
        <w:rPr>
          <w:rFonts w:ascii="Times New Roman" w:eastAsia="Times New Roman" w:hAnsi="Times New Roman" w:cs="Times New Roman"/>
          <w:sz w:val="28"/>
          <w:szCs w:val="28"/>
        </w:rPr>
        <w:t>. На схеме указана дорожная разметка, а также расположение дорожных знаков. Кроме того, в правом левом углу, судом установлено, что имеется исправление схемы, в том числе с применением корректирующих веществ (замазка).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этом, указанное исправление никак не оговорено в представленной схеме, и соответственно по аналогии со ст.28.2 КоАП РФ, суд признает данное исправление в отсутствии привлекаемого к ответственности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находит подлежащим исключению из числа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03.04.2024</w:t>
      </w:r>
      <w:r>
        <w:rPr>
          <w:rFonts w:ascii="Times New Roman" w:eastAsia="Times New Roman" w:hAnsi="Times New Roman" w:cs="Times New Roman"/>
          <w:sz w:val="28"/>
          <w:szCs w:val="28"/>
        </w:rPr>
        <w:t>, как полученную с нарушением закона.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п.13 Постановления Пленума Верховного Суда от 24.03.2005 N 5 "О некоторых вопросах, возникающих у судов при применении Кодекса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3 статьи 26.2 КоАП РФ не допускается использование доказательств по делу об административном правонарушении (например, протокола об административном правонарушении, протоколов о применении мер обеспечения производства по делу об административном правонарушении), если указанные доказательства получены с нарушением закона. Все собранные доказательства подлежат оценке по правилам статьи 26.11 КоАП РФ и не могут выступать предметом самостоятельного оспаривания.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 ч.1 ст.24.5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производство по делу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отсутствием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Данишевского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ч.2 ст.24.5, ст.29.10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рекратить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Данишевского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п.2 ч.1 ст.24.5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 ст.12.15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 Шинкарь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2081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6rplc-52">
    <w:name w:val="cat-UserDefined grp-36 rplc-52"/>
    <w:basedOn w:val="DefaultParagraphFont"/>
  </w:style>
  <w:style w:type="character" w:customStyle="1" w:styleId="cat-UserDefinedgrp-37rplc-53">
    <w:name w:val="cat-UserDefined grp-3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37FC-8F26-473E-B3B3-BEF2B71ED8F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